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FEFA" w14:textId="77777777" w:rsidR="004A3153" w:rsidRDefault="004A3153" w:rsidP="00D631EC">
      <w:pPr>
        <w:pStyle w:val="Rubrik"/>
      </w:pPr>
      <w:r w:rsidRPr="004A3153">
        <w:t>Degerhov 158 Gruvområde</w:t>
      </w:r>
    </w:p>
    <w:p w14:paraId="4992DBF7" w14:textId="77777777" w:rsidR="004A3153" w:rsidRPr="004A3153" w:rsidRDefault="004A3153" w:rsidP="004A3153">
      <w:pPr>
        <w:pStyle w:val="Rubrik"/>
        <w:rPr>
          <w:rFonts w:asciiTheme="minorHAnsi" w:hAnsiTheme="minorHAnsi" w:cstheme="minorHAnsi"/>
          <w:sz w:val="22"/>
          <w:szCs w:val="22"/>
        </w:rPr>
      </w:pPr>
      <w:r w:rsidRPr="004A3153">
        <w:rPr>
          <w:rFonts w:asciiTheme="minorHAnsi" w:hAnsiTheme="minorHAnsi" w:cstheme="minorHAnsi"/>
          <w:sz w:val="22"/>
          <w:szCs w:val="22"/>
        </w:rPr>
        <w:t>Platsmärke:158 Gruvområde RAÄ Skällvik 183 1774-1760</w:t>
      </w:r>
    </w:p>
    <w:p w14:paraId="372C88BD" w14:textId="77777777" w:rsidR="004A3153" w:rsidRDefault="004A3153" w:rsidP="004A3153">
      <w:pPr>
        <w:pStyle w:val="Rubrik"/>
        <w:rPr>
          <w:rFonts w:asciiTheme="minorHAnsi" w:hAnsiTheme="minorHAnsi" w:cstheme="minorHAnsi"/>
          <w:sz w:val="22"/>
          <w:szCs w:val="22"/>
        </w:rPr>
      </w:pPr>
      <w:r w:rsidRPr="004A3153">
        <w:rPr>
          <w:rFonts w:asciiTheme="minorHAnsi" w:hAnsiTheme="minorHAnsi" w:cstheme="minorHAnsi"/>
          <w:sz w:val="22"/>
          <w:szCs w:val="22"/>
        </w:rPr>
        <w:t>Dokument:Degerhov 158 Gruvområde.pdf</w:t>
      </w:r>
    </w:p>
    <w:p w14:paraId="604F6BE6" w14:textId="76AF1E5B" w:rsidR="00D631EC" w:rsidRPr="00D631EC" w:rsidRDefault="00D631EC" w:rsidP="004A3153">
      <w:pPr>
        <w:pStyle w:val="Rubrik"/>
        <w:rPr>
          <w:rFonts w:asciiTheme="minorHAnsi" w:hAnsiTheme="minorHAnsi" w:cstheme="minorHAnsi"/>
          <w:sz w:val="40"/>
          <w:szCs w:val="40"/>
        </w:rPr>
      </w:pPr>
      <w:r w:rsidRPr="00D631EC">
        <w:rPr>
          <w:rFonts w:asciiTheme="minorHAnsi" w:hAnsiTheme="minorHAnsi" w:cstheme="minorHAnsi"/>
          <w:sz w:val="40"/>
          <w:szCs w:val="40"/>
        </w:rPr>
        <w:t>&lt;</w:t>
      </w:r>
      <w:r w:rsidR="00D60247">
        <w:rPr>
          <w:rFonts w:asciiTheme="minorHAnsi" w:hAnsiTheme="minorHAnsi" w:cstheme="minorHAnsi"/>
          <w:sz w:val="40"/>
          <w:szCs w:val="40"/>
        </w:rPr>
        <w:t>Inklippta b</w:t>
      </w:r>
      <w:r w:rsidRPr="00D631EC">
        <w:rPr>
          <w:rFonts w:asciiTheme="minorHAnsi" w:hAnsiTheme="minorHAnsi" w:cstheme="minorHAnsi"/>
          <w:sz w:val="40"/>
          <w:szCs w:val="40"/>
        </w:rPr>
        <w:t>ilder&gt;</w:t>
      </w:r>
    </w:p>
    <w:p w14:paraId="19C000EE" w14:textId="77777777" w:rsidR="00D631EC" w:rsidRDefault="00D631EC" w:rsidP="00D631EC">
      <w:pPr>
        <w:pStyle w:val="Rubrik"/>
      </w:pPr>
    </w:p>
    <w:p w14:paraId="75F07337" w14:textId="77777777" w:rsidR="00D631EC" w:rsidRPr="003758AF" w:rsidRDefault="00D631EC" w:rsidP="00D631EC">
      <w:pPr>
        <w:pStyle w:val="Rubrik"/>
        <w:rPr>
          <w:sz w:val="40"/>
          <w:szCs w:val="40"/>
        </w:rPr>
      </w:pPr>
      <w:r w:rsidRPr="00516C1B">
        <w:rPr>
          <w:rFonts w:asciiTheme="minorHAnsi" w:hAnsiTheme="minorHAnsi" w:cstheme="minorHAnsi"/>
          <w:sz w:val="40"/>
          <w:szCs w:val="40"/>
        </w:rPr>
        <w:t>Beskrivning</w:t>
      </w:r>
      <w:r w:rsidRPr="003758AF">
        <w:rPr>
          <w:sz w:val="40"/>
          <w:szCs w:val="40"/>
        </w:rPr>
        <w:t>:</w:t>
      </w:r>
    </w:p>
    <w:p w14:paraId="5C5D71E6"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Gruvområde, ca 180x50 m (NÖ-SV) bestående av 2 gruvhål och 1 vägbank. Gruvhålen är 18x11 m (Ö-V) respektive 7 m st och 0,5-3,5 m dj ned till vattenytan. Det egentliga djupet går ej ett fastställa. Tillmakade, stängslade och fyllda med skrot. Blygruvor. Vägbanken, mitt emellan gruvhålen, är 180 m l (huvudriktning NÖ-SV), 4 m br och intill 0,8 m h. Övertorvad med ställvis synlig kantskoning. Ej i trafik. Vägbanken är med på kartan från 1727. På lantmäterikartan från 1727 finns även en smedja och redskapshus markerade. En skrotstensvarp är belägen S om gruvorna.Lämningen består av</w:t>
      </w:r>
    </w:p>
    <w:p w14:paraId="07E76105"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Bergshistorisk lämning övrig - Typ: övrig, antal 1</w:t>
      </w:r>
    </w:p>
    <w:p w14:paraId="5281B5D6"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Gruvhål - Material: bly-/silvermalm, Teknik: tillmakning, Typ: gruvhål, antal 2.</w:t>
      </w:r>
    </w:p>
    <w:p w14:paraId="5529B559"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Läget för blygruvor år 1727 enligt historisk karta, 1727 AKT 05-skl-14 Arealmätning Skällvik-Stegeborg och 1727 D97-32_1 Skatteberedning- Eventuellt spår av tillmakning.</w:t>
      </w:r>
    </w:p>
    <w:p w14:paraId="3C1EF2AC"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Enligt Broocman upptogs gruvorna 1724 och var ödelagda år 1760.</w:t>
      </w:r>
    </w:p>
    <w:p w14:paraId="0A507413"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Markering för gruva finns i området på Häradskarta, 1868-77, Stegeborg.</w:t>
      </w:r>
    </w:p>
    <w:p w14:paraId="4B81AA3C"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De två gruvhålen tidigare registrerade som två undernummer, nu gruvområde.</w:t>
      </w:r>
    </w:p>
    <w:p w14:paraId="486C9584"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Nutid: Gruvområdet börjar ca 70 m NNÖ om åkerkant. Småkuperad moränmark med ställvis berg i dagen. Skogsmark (blandskog). På kanterna av gruvhålen växer tallar, aspar, granar, ekar, björkar och sly.</w:t>
      </w:r>
    </w:p>
    <w:p w14:paraId="08B0BB01" w14:textId="77777777" w:rsidR="002121C6" w:rsidRPr="002121C6" w:rsidRDefault="002121C6" w:rsidP="002121C6">
      <w:pPr>
        <w:rPr>
          <w:rFonts w:eastAsiaTheme="majorEastAsia" w:cstheme="minorHAnsi"/>
          <w:spacing w:val="-10"/>
          <w:kern w:val="28"/>
        </w:rPr>
      </w:pPr>
      <w:r w:rsidRPr="002121C6">
        <w:rPr>
          <w:rFonts w:eastAsiaTheme="majorEastAsia" w:cstheme="minorHAnsi"/>
          <w:spacing w:val="-10"/>
          <w:kern w:val="28"/>
        </w:rPr>
        <w:t>Tillmakning: Tillmakning är en gammal metod som användes inom gruvdrift för att bryta berg när det ännu inte fanns sprängmedel. Metoden innebar att man eldade på bergväggen, vilket fick berget att spricka och bli mer lättbearbetat. Efter att berget värmts upp kraftigt med eld, kyldes det snabbt ner genom att vatten hälldes på, vilket gjorde att stenen sprack och kunde bearbetas vidare. Tillmakning användes främst fram till 1800-talet, då sprängmedel började användas i större skala.</w:t>
      </w:r>
    </w:p>
    <w:p w14:paraId="278B4413" w14:textId="7F02C4DD" w:rsidR="008C4553" w:rsidRPr="008C4553" w:rsidRDefault="002121C6" w:rsidP="002121C6">
      <w:r w:rsidRPr="002121C6">
        <w:rPr>
          <w:rFonts w:eastAsiaTheme="majorEastAsia" w:cstheme="minorHAnsi"/>
          <w:spacing w:val="-10"/>
          <w:kern w:val="28"/>
        </w:rPr>
        <w:t>Skrotstemsvarp: En skrotstensvarp är en hög med restmaterial, ofta kallad “varp,” som bildas i anslutning till gruvdrift. När man bryter malm, blir en stor del av det material som tas upp från gruvan oanvändbart och klassas som skrotsten. Denna skrotsten, som inte innehåller tillräckligt med värdefull malm för att bearbetas vidare, samlas i varpar nära gruvan. Skrotstensvarpar kan ses i äldre gruvmiljöer och är ibland kvar som kulturhistoriska lämningar, som berättar om gruvdriftens omfattning och tekniker förr i tiden.</w:t>
      </w:r>
    </w:p>
    <w:p w14:paraId="1D7DA574" w14:textId="1A27A955" w:rsidR="006C5724" w:rsidRDefault="00D631EC" w:rsidP="00D631EC">
      <w:pPr>
        <w:pBdr>
          <w:bottom w:val="double" w:sz="6" w:space="1" w:color="auto"/>
        </w:pBdr>
        <w:rPr>
          <w:sz w:val="40"/>
          <w:szCs w:val="40"/>
        </w:rPr>
      </w:pPr>
      <w:r w:rsidRPr="00A56E6D">
        <w:rPr>
          <w:sz w:val="40"/>
          <w:szCs w:val="40"/>
        </w:rPr>
        <w:t>Geografiska Data:</w:t>
      </w:r>
    </w:p>
    <w:p w14:paraId="5F78E2A6" w14:textId="4A0E454E" w:rsidR="00740424" w:rsidRDefault="004A3153" w:rsidP="00D631EC">
      <w:pPr>
        <w:pBdr>
          <w:bottom w:val="double" w:sz="6" w:space="1" w:color="auto"/>
        </w:pBdr>
        <w:rPr>
          <w:sz w:val="40"/>
          <w:szCs w:val="40"/>
        </w:rPr>
      </w:pPr>
      <w:r w:rsidRPr="004A3153">
        <w:rPr>
          <w:sz w:val="40"/>
          <w:szCs w:val="40"/>
        </w:rPr>
        <w:lastRenderedPageBreak/>
        <w:drawing>
          <wp:inline distT="0" distB="0" distL="0" distR="0" wp14:anchorId="2085A897" wp14:editId="42A167DF">
            <wp:extent cx="4677428" cy="3248478"/>
            <wp:effectExtent l="0" t="0" r="8890" b="9525"/>
            <wp:docPr id="193985084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50841" name=""/>
                    <pic:cNvPicPr/>
                  </pic:nvPicPr>
                  <pic:blipFill>
                    <a:blip r:embed="rId4"/>
                    <a:stretch>
                      <a:fillRect/>
                    </a:stretch>
                  </pic:blipFill>
                  <pic:spPr>
                    <a:xfrm>
                      <a:off x="0" y="0"/>
                      <a:ext cx="4677428" cy="3248478"/>
                    </a:xfrm>
                    <a:prstGeom prst="rect">
                      <a:avLst/>
                    </a:prstGeom>
                  </pic:spPr>
                </pic:pic>
              </a:graphicData>
            </a:graphic>
          </wp:inline>
        </w:drawing>
      </w:r>
    </w:p>
    <w:p w14:paraId="0C9A7D33" w14:textId="01E9D36D" w:rsidR="00D631EC" w:rsidRDefault="002121C6" w:rsidP="00D631EC">
      <w:pPr>
        <w:pBdr>
          <w:bottom w:val="double" w:sz="6" w:space="1" w:color="auto"/>
        </w:pBdr>
        <w:rPr>
          <w:sz w:val="40"/>
          <w:szCs w:val="40"/>
        </w:rPr>
      </w:pPr>
      <w:r w:rsidRPr="002121C6">
        <w:rPr>
          <w:noProof/>
          <w:sz w:val="40"/>
          <w:szCs w:val="40"/>
        </w:rPr>
        <w:lastRenderedPageBreak/>
        <w:drawing>
          <wp:inline distT="0" distB="0" distL="0" distR="0" wp14:anchorId="2BF0881A" wp14:editId="45A22A95">
            <wp:extent cx="3991532" cy="5677692"/>
            <wp:effectExtent l="0" t="0" r="9525" b="0"/>
            <wp:docPr id="159084405"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84405" name=""/>
                    <pic:cNvPicPr/>
                  </pic:nvPicPr>
                  <pic:blipFill>
                    <a:blip r:embed="rId5"/>
                    <a:stretch>
                      <a:fillRect/>
                    </a:stretch>
                  </pic:blipFill>
                  <pic:spPr>
                    <a:xfrm>
                      <a:off x="0" y="0"/>
                      <a:ext cx="3991532" cy="5677692"/>
                    </a:xfrm>
                    <a:prstGeom prst="rect">
                      <a:avLst/>
                    </a:prstGeom>
                  </pic:spPr>
                </pic:pic>
              </a:graphicData>
            </a:graphic>
          </wp:inline>
        </w:drawing>
      </w:r>
      <w:r w:rsidRPr="002121C6">
        <w:rPr>
          <w:noProof/>
          <w:sz w:val="40"/>
          <w:szCs w:val="40"/>
        </w:rPr>
        <w:lastRenderedPageBreak/>
        <w:drawing>
          <wp:inline distT="0" distB="0" distL="0" distR="0" wp14:anchorId="0260A045" wp14:editId="4FF115DD">
            <wp:extent cx="5010849" cy="3562847"/>
            <wp:effectExtent l="0" t="0" r="0" b="0"/>
            <wp:docPr id="141246838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468380" name=""/>
                    <pic:cNvPicPr/>
                  </pic:nvPicPr>
                  <pic:blipFill>
                    <a:blip r:embed="rId6"/>
                    <a:stretch>
                      <a:fillRect/>
                    </a:stretch>
                  </pic:blipFill>
                  <pic:spPr>
                    <a:xfrm>
                      <a:off x="0" y="0"/>
                      <a:ext cx="5010849" cy="3562847"/>
                    </a:xfrm>
                    <a:prstGeom prst="rect">
                      <a:avLst/>
                    </a:prstGeom>
                  </pic:spPr>
                </pic:pic>
              </a:graphicData>
            </a:graphic>
          </wp:inline>
        </w:drawing>
      </w:r>
    </w:p>
    <w:p w14:paraId="52D24170" w14:textId="77777777" w:rsidR="00D631EC" w:rsidRDefault="00D631EC" w:rsidP="00D631EC">
      <w:pPr>
        <w:pBdr>
          <w:bottom w:val="double" w:sz="6" w:space="1" w:color="auto"/>
        </w:pBdr>
      </w:pPr>
    </w:p>
    <w:sectPr w:rsidR="00D631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EC"/>
    <w:rsid w:val="00011A5D"/>
    <w:rsid w:val="00156F27"/>
    <w:rsid w:val="001D46F0"/>
    <w:rsid w:val="002121C6"/>
    <w:rsid w:val="00405C48"/>
    <w:rsid w:val="00462159"/>
    <w:rsid w:val="004A3153"/>
    <w:rsid w:val="00596C58"/>
    <w:rsid w:val="005C548A"/>
    <w:rsid w:val="005D1B74"/>
    <w:rsid w:val="006662C8"/>
    <w:rsid w:val="006C5724"/>
    <w:rsid w:val="00740424"/>
    <w:rsid w:val="007D6A0D"/>
    <w:rsid w:val="008C4553"/>
    <w:rsid w:val="0091507E"/>
    <w:rsid w:val="00964880"/>
    <w:rsid w:val="009F7171"/>
    <w:rsid w:val="00A066B1"/>
    <w:rsid w:val="00C9169D"/>
    <w:rsid w:val="00D1653E"/>
    <w:rsid w:val="00D516ED"/>
    <w:rsid w:val="00D60247"/>
    <w:rsid w:val="00D631EC"/>
    <w:rsid w:val="00E174CC"/>
    <w:rsid w:val="00ED7A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EE36"/>
  <w15:chartTrackingRefBased/>
  <w15:docId w15:val="{F7D49303-F9CE-458F-A9CA-E09576F1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631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D631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D631EC"/>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D631EC"/>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D631EC"/>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D631E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631E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631E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631E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631EC"/>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D631EC"/>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D631EC"/>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D631EC"/>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D631EC"/>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D631E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631E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631E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631EC"/>
    <w:rPr>
      <w:rFonts w:eastAsiaTheme="majorEastAsia" w:cstheme="majorBidi"/>
      <w:color w:val="272727" w:themeColor="text1" w:themeTint="D8"/>
    </w:rPr>
  </w:style>
  <w:style w:type="paragraph" w:styleId="Rubrik">
    <w:name w:val="Title"/>
    <w:basedOn w:val="Normal"/>
    <w:next w:val="Normal"/>
    <w:link w:val="RubrikChar"/>
    <w:uiPriority w:val="10"/>
    <w:qFormat/>
    <w:rsid w:val="00D631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631E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631E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631E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631E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631EC"/>
    <w:rPr>
      <w:i/>
      <w:iCs/>
      <w:color w:val="404040" w:themeColor="text1" w:themeTint="BF"/>
    </w:rPr>
  </w:style>
  <w:style w:type="paragraph" w:styleId="Liststycke">
    <w:name w:val="List Paragraph"/>
    <w:basedOn w:val="Normal"/>
    <w:uiPriority w:val="34"/>
    <w:qFormat/>
    <w:rsid w:val="00D631EC"/>
    <w:pPr>
      <w:ind w:left="720"/>
      <w:contextualSpacing/>
    </w:pPr>
  </w:style>
  <w:style w:type="character" w:styleId="Starkbetoning">
    <w:name w:val="Intense Emphasis"/>
    <w:basedOn w:val="Standardstycketeckensnitt"/>
    <w:uiPriority w:val="21"/>
    <w:qFormat/>
    <w:rsid w:val="00D631EC"/>
    <w:rPr>
      <w:i/>
      <w:iCs/>
      <w:color w:val="2F5496" w:themeColor="accent1" w:themeShade="BF"/>
    </w:rPr>
  </w:style>
  <w:style w:type="paragraph" w:styleId="Starktcitat">
    <w:name w:val="Intense Quote"/>
    <w:basedOn w:val="Normal"/>
    <w:next w:val="Normal"/>
    <w:link w:val="StarktcitatChar"/>
    <w:uiPriority w:val="30"/>
    <w:qFormat/>
    <w:rsid w:val="00D631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D631EC"/>
    <w:rPr>
      <w:i/>
      <w:iCs/>
      <w:color w:val="2F5496" w:themeColor="accent1" w:themeShade="BF"/>
    </w:rPr>
  </w:style>
  <w:style w:type="character" w:styleId="Starkreferens">
    <w:name w:val="Intense Reference"/>
    <w:basedOn w:val="Standardstycketeckensnitt"/>
    <w:uiPriority w:val="32"/>
    <w:qFormat/>
    <w:rsid w:val="00D631E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683040">
      <w:bodyDiv w:val="1"/>
      <w:marLeft w:val="0"/>
      <w:marRight w:val="0"/>
      <w:marTop w:val="0"/>
      <w:marBottom w:val="0"/>
      <w:divBdr>
        <w:top w:val="none" w:sz="0" w:space="0" w:color="auto"/>
        <w:left w:val="none" w:sz="0" w:space="0" w:color="auto"/>
        <w:bottom w:val="none" w:sz="0" w:space="0" w:color="auto"/>
        <w:right w:val="none" w:sz="0" w:space="0" w:color="auto"/>
      </w:divBdr>
    </w:div>
    <w:div w:id="163860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393</Words>
  <Characters>2088</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HP</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Malmgren</dc:creator>
  <cp:keywords/>
  <dc:description/>
  <cp:lastModifiedBy>Roger Malmgren</cp:lastModifiedBy>
  <cp:revision>21</cp:revision>
  <dcterms:created xsi:type="dcterms:W3CDTF">2025-05-02T10:44:00Z</dcterms:created>
  <dcterms:modified xsi:type="dcterms:W3CDTF">2025-11-23T17:31:00Z</dcterms:modified>
</cp:coreProperties>
</file>